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3B627D" w:rsidRPr="003B627D" w:rsidRDefault="003B627D" w:rsidP="003B627D">
      <w:pPr>
        <w:spacing w:after="0" w:line="360" w:lineRule="auto"/>
        <w:ind w:right="-472" w:firstLine="709"/>
        <w:jc w:val="center"/>
        <w:rPr>
          <w:rFonts w:ascii="Times New Roman" w:eastAsia="Times New Roman" w:hAnsi="Times New Roman" w:cs="Times New Roman"/>
          <w:b/>
          <w:i/>
          <w:iCs/>
          <w:color w:val="010101"/>
          <w:sz w:val="32"/>
          <w:szCs w:val="32"/>
          <w:bdr w:val="none" w:sz="0" w:space="0" w:color="auto" w:frame="1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i/>
          <w:iCs/>
          <w:color w:val="010101"/>
          <w:sz w:val="32"/>
          <w:szCs w:val="32"/>
          <w:bdr w:val="none" w:sz="0" w:space="0" w:color="auto" w:frame="1"/>
          <w:lang w:eastAsia="uk-UA"/>
        </w:rPr>
        <w:t>Консультація для батьків</w:t>
      </w:r>
    </w:p>
    <w:p w:rsidR="003B627D" w:rsidRDefault="003B627D" w:rsidP="003B627D">
      <w:pPr>
        <w:spacing w:after="0" w:line="360" w:lineRule="auto"/>
        <w:ind w:right="-472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10101"/>
          <w:sz w:val="32"/>
          <w:szCs w:val="32"/>
          <w:bdr w:val="none" w:sz="0" w:space="0" w:color="auto" w:frame="1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i/>
          <w:iCs/>
          <w:color w:val="010101"/>
          <w:sz w:val="32"/>
          <w:szCs w:val="32"/>
          <w:bdr w:val="none" w:sz="0" w:space="0" w:color="auto" w:frame="1"/>
          <w:lang w:eastAsia="uk-UA"/>
        </w:rPr>
        <w:t>«</w:t>
      </w:r>
      <w:r w:rsidRPr="003B627D">
        <w:rPr>
          <w:rFonts w:ascii="Times New Roman" w:eastAsia="Times New Roman" w:hAnsi="Times New Roman" w:cs="Times New Roman"/>
          <w:b/>
          <w:bCs/>
          <w:i/>
          <w:iCs/>
          <w:color w:val="010101"/>
          <w:sz w:val="32"/>
          <w:szCs w:val="32"/>
          <w:bdr w:val="none" w:sz="0" w:space="0" w:color="auto" w:frame="1"/>
          <w:lang w:eastAsia="uk-UA"/>
        </w:rPr>
        <w:t>ЯК ГОВОРИТИ З ДІТЬМИ ПРО НАСИЛЬСТВО»</w:t>
      </w:r>
    </w:p>
    <w:p w:rsidR="003B627D" w:rsidRPr="003B627D" w:rsidRDefault="003B627D" w:rsidP="003B627D">
      <w:pPr>
        <w:spacing w:after="0" w:line="360" w:lineRule="auto"/>
        <w:ind w:right="-472"/>
        <w:rPr>
          <w:rFonts w:ascii="Times New Roman" w:eastAsia="Times New Roman" w:hAnsi="Times New Roman" w:cs="Times New Roman"/>
          <w:b/>
          <w:bCs/>
          <w:i/>
          <w:iCs/>
          <w:color w:val="010101"/>
          <w:sz w:val="32"/>
          <w:szCs w:val="32"/>
          <w:bdr w:val="none" w:sz="0" w:space="0" w:color="auto" w:frame="1"/>
          <w:lang w:eastAsia="uk-UA"/>
        </w:rPr>
      </w:pPr>
      <w:r>
        <w:rPr>
          <w:noProof/>
          <w:lang w:eastAsia="uk-UA"/>
        </w:rPr>
        <w:drawing>
          <wp:inline distT="0" distB="0" distL="0" distR="0" wp14:anchorId="05AB98FF" wp14:editId="231914B4">
            <wp:extent cx="5731510" cy="3819733"/>
            <wp:effectExtent l="0" t="0" r="2540" b="9525"/>
            <wp:docPr id="1" name="Рисунок 1" descr="https://nus.org.ua/wp-content/uploads/2019/09/YAk-govoryty-z-ditmy-pro-nasylstvo-Lajfhaky-e1568902909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19/09/YAk-govoryty-z-ditmy-pro-nasylstvo-Lajfhaky-e15689029092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uk-UA"/>
        </w:rPr>
        <w:t>Кожна п’ята дитина в Європі стає жертвою сексуального насильства. У 70-85% випадків насильник – людина, яку дитина знає та якій довіряє. Про це свідчать дані</w:t>
      </w:r>
      <w:hyperlink r:id="rId7" w:tgtFrame="_blank" w:history="1">
        <w:r w:rsidRPr="003B627D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bdr w:val="none" w:sz="0" w:space="0" w:color="auto" w:frame="1"/>
            <w:lang w:eastAsia="uk-UA"/>
          </w:rPr>
          <w:t> проекту Ради Європи “Один із п’яти”.</w:t>
        </w:r>
      </w:hyperlink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uk-UA"/>
        </w:rPr>
        <w:t>Психологи кажуть, що зазвичай дитячий страх говорити з дорослими про насильство породжується з інших страхів. Діти можуть боятись, що дорослі сваритимуть їх, не повірять, скажуть “Сама/сам винний(а)”, або не хочуть засмутити дорослих. Втім, головна причина страху в тому, що дорослі ніколи до цього не говорили з дітьми про сексуальну безпеку.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>З ЧОГО ПОЧАТИ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Потрібно</w:t>
      </w: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 починати з пояснення дитині, що таке власні кордони.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Щодо цього Рада Європи опублікувала 30-секундний мультфільм, який можна дивитися з дітьми від двох років.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Також проект “Один із п’яти” розробив “Правило нижньої білизни” для пояснення дітям від двох років. Воно полягає в тому, що інші люди не повинні </w:t>
      </w: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lastRenderedPageBreak/>
        <w:t>торкатися тих частин тіла дитини, які зазвичай прикриті білизною. І діти не повинні торкатися інших людей у цих місцях.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Пояснення складається з п’яти правил абревіатури PANTS (труси):</w:t>
      </w:r>
    </w:p>
    <w:p w:rsidR="003B627D" w:rsidRPr="003B627D" w:rsidRDefault="003B627D" w:rsidP="003B627D">
      <w:pPr>
        <w:numPr>
          <w:ilvl w:val="0"/>
          <w:numId w:val="1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P – “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Private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are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private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” (Приватне – це приватне).</w:t>
      </w: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 Інтимні частини тіла – твоя власність.</w:t>
      </w:r>
    </w:p>
    <w:p w:rsidR="003B627D" w:rsidRPr="003B627D" w:rsidRDefault="003B627D" w:rsidP="003B627D">
      <w:pPr>
        <w:numPr>
          <w:ilvl w:val="0"/>
          <w:numId w:val="1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A – “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Always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remember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your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body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belongs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” (Завжди пам’ятай: твоє тіло належить тільки тобі).</w:t>
      </w: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 Йдеться про те, що дитина може відмовитися від дружнього поцілунку чи обіймів будь-якої людини, якщо вона цього не хоче. Треба вчити дитину говорити “ні”.</w:t>
      </w:r>
    </w:p>
    <w:p w:rsidR="003B627D" w:rsidRPr="003B627D" w:rsidRDefault="003B627D" w:rsidP="003B627D">
      <w:pPr>
        <w:numPr>
          <w:ilvl w:val="0"/>
          <w:numId w:val="1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 </w:t>
      </w: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N – “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No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means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no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” (“Ні”, значить “ні”).</w:t>
      </w: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 Треба пояснити дитині, що погано, якщо хтось розглядає її статеві органи. Навіть лікарі повинні робити це в присутності батьків.</w:t>
      </w:r>
    </w:p>
    <w:p w:rsidR="003B627D" w:rsidRPr="003B627D" w:rsidRDefault="003B627D" w:rsidP="003B627D">
      <w:pPr>
        <w:numPr>
          <w:ilvl w:val="0"/>
          <w:numId w:val="1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T – “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Talk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about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secrets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upset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” (Говори відкрито про секрети, які тебе засмучують).</w:t>
      </w: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 Дорослі повинні створювати дружню атмосферу, аби діти ділились з ними таємницями.</w:t>
      </w:r>
    </w:p>
    <w:p w:rsidR="003B627D" w:rsidRPr="003B627D" w:rsidRDefault="003B627D" w:rsidP="003B627D">
      <w:pPr>
        <w:numPr>
          <w:ilvl w:val="0"/>
          <w:numId w:val="1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 S – “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Speak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up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someone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can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help</w:t>
      </w:r>
      <w:proofErr w:type="spellEnd"/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” (Розкажи все як є – хтось допоможе тобі).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Юлія </w:t>
      </w:r>
      <w:proofErr w:type="spellStart"/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Ярмоленко</w:t>
      </w:r>
      <w:proofErr w:type="spellEnd"/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 додає </w:t>
      </w: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два правила, яких повинні дотримуватись батьки:</w:t>
      </w:r>
    </w:p>
    <w:p w:rsidR="003B627D" w:rsidRPr="003B627D" w:rsidRDefault="003B627D" w:rsidP="003B627D">
      <w:pPr>
        <w:numPr>
          <w:ilvl w:val="0"/>
          <w:numId w:val="2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Стукати до кімнати, де перебуває дитина</w:t>
      </w: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, бо так дорослі показують, що поважають право на </w:t>
      </w:r>
      <w:proofErr w:type="spellStart"/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приватність</w:t>
      </w:r>
      <w:proofErr w:type="spellEnd"/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дитини;</w:t>
      </w:r>
    </w:p>
    <w:p w:rsidR="003B627D" w:rsidRPr="003B627D" w:rsidRDefault="003B627D" w:rsidP="003B627D">
      <w:pPr>
        <w:numPr>
          <w:ilvl w:val="0"/>
          <w:numId w:val="2"/>
        </w:numPr>
        <w:spacing w:after="0" w:line="360" w:lineRule="auto"/>
        <w:ind w:left="0" w:right="-472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>Не допускати нормалізацію насильства</w:t>
      </w:r>
      <w:r w:rsidRPr="003B627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, бо зазвичай діти батьків, які чинять домашнє насильство, самі стають насильниками або жертвами.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У 3-5 років психологи радять навчити дітей вживати коректні назви </w:t>
      </w:r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чоловічих та жіночих 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геніталій</w:t>
      </w:r>
      <w:proofErr w:type="spellEnd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“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пеніс</w:t>
      </w:r>
      <w:proofErr w:type="spellEnd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” і “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вульва</w:t>
      </w:r>
      <w:proofErr w:type="spellEnd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”. В одному зі 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 </w:t>
      </w:r>
      <w:hyperlink r:id="rId8" w:tgtFrame="_blank" w:history="1">
        <w:r w:rsidRPr="003B62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uk-UA"/>
          </w:rPr>
          <w:t>матеріалі</w:t>
        </w:r>
        <w:proofErr w:type="spellEnd"/>
        <w:r w:rsidRPr="003B627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uk-UA"/>
          </w:rPr>
          <w:t>в</w:t>
        </w:r>
      </w:hyperlink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Юлія 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Ярмоленко</w:t>
      </w:r>
      <w:proofErr w:type="spellEnd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згадує секс-педагога з Торонто 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Ліби</w:t>
      </w:r>
      <w:proofErr w:type="spellEnd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Спрінг</w:t>
      </w:r>
      <w:proofErr w:type="spellEnd"/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розповідала історію жінки, яка зазнала сексуального насильства в дитинстві.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Тоді єдиним </w:t>
      </w: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словом, яке вона знала для позначення жіночих </w:t>
      </w:r>
      <w:proofErr w:type="spellStart"/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геніталій</w:t>
      </w:r>
      <w:proofErr w:type="spellEnd"/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, було “печиво”. Коли вона намагалася розповісти вчительці про те, що хтось хоче її печиво, почула відповідь: треба ділитися. І насильство продовжувалося.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>ЩО РОБИТИ, КОЛИ ДИТИНІ 6-7</w:t>
      </w:r>
      <w:r w:rsidRPr="003B62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 xml:space="preserve"> РОКІВ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Секс-педагоги радять пояснити 6-7-річній дитині, хто такі ексгібіціоністи </w:t>
      </w:r>
      <w:r w:rsidRPr="003B627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bdr w:val="none" w:sz="0" w:space="0" w:color="auto" w:frame="1"/>
          <w:lang w:eastAsia="uk-UA"/>
        </w:rPr>
        <w:t>(люди, які демонструють свої статеві органи – ред.)</w:t>
      </w: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 і як на них реагувати. Дитина в цьому віці йде до 1 класу, а значить можливість зустрітися з такою людиною зростає.</w:t>
      </w:r>
    </w:p>
    <w:p w:rsidR="003B627D" w:rsidRPr="003B627D" w:rsidRDefault="003B627D" w:rsidP="003B627D">
      <w:pPr>
        <w:spacing w:after="0" w:line="360" w:lineRule="auto"/>
        <w:ind w:right="-472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3B627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>Зазвичай ексгібіціоністи намагаються домогтися бурхливої реакції: збентеження, страху, цікавості. Тому дитині треба пояснити, що варто ігнорувати ексгібіціоніста і швидше рухатись до людного місця.</w:t>
      </w:r>
    </w:p>
    <w:p w:rsidR="003B627D" w:rsidRDefault="003B627D" w:rsidP="003B627D">
      <w:pPr>
        <w:pStyle w:val="4"/>
        <w:spacing w:before="0" w:beforeAutospacing="0" w:after="525" w:afterAutospacing="0"/>
        <w:ind w:left="900" w:right="900"/>
        <w:jc w:val="center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>ЩО ПОЧИТАТИ ДІТЯМ ПРО СЕКСУАЛЬНІ КОРДОНИ ТА СЕКСУАЛЬНІСТЬ</w:t>
      </w:r>
    </w:p>
    <w:p w:rsidR="003B627D" w:rsidRDefault="003B627D" w:rsidP="003B627D">
      <w:pPr>
        <w:pStyle w:val="a3"/>
        <w:spacing w:before="0" w:beforeAutospacing="0" w:after="375" w:afterAutospacing="0"/>
        <w:ind w:left="900" w:right="900"/>
        <w:rPr>
          <w:rFonts w:ascii="ProximaNova" w:hAnsi="ProximaNova"/>
          <w:color w:val="141414"/>
          <w:sz w:val="30"/>
          <w:szCs w:val="30"/>
        </w:rPr>
      </w:pPr>
      <w:r>
        <w:rPr>
          <w:rFonts w:ascii="ProximaNova" w:hAnsi="ProximaNova"/>
          <w:color w:val="141414"/>
          <w:sz w:val="30"/>
          <w:szCs w:val="30"/>
        </w:rPr>
        <w:t xml:space="preserve">Дітям можна також порадити книжку, залежно від віку та потреб, яка б </w:t>
      </w:r>
      <w:proofErr w:type="spellStart"/>
      <w:r>
        <w:rPr>
          <w:rFonts w:ascii="ProximaNova" w:hAnsi="ProximaNova"/>
          <w:color w:val="141414"/>
          <w:sz w:val="30"/>
          <w:szCs w:val="30"/>
        </w:rPr>
        <w:t>задовільняла</w:t>
      </w:r>
      <w:proofErr w:type="spellEnd"/>
      <w:r>
        <w:rPr>
          <w:rFonts w:ascii="ProximaNova" w:hAnsi="ProximaNova"/>
          <w:color w:val="141414"/>
          <w:sz w:val="30"/>
          <w:szCs w:val="30"/>
        </w:rPr>
        <w:t xml:space="preserve"> інтерес та застерігала.</w:t>
      </w:r>
    </w:p>
    <w:p w:rsidR="003B627D" w:rsidRDefault="003B627D" w:rsidP="003B627D">
      <w:pPr>
        <w:pStyle w:val="a3"/>
        <w:spacing w:before="0" w:beforeAutospacing="0" w:after="0" w:afterAutospacing="0"/>
        <w:ind w:left="900" w:right="900"/>
        <w:rPr>
          <w:rFonts w:ascii="ProximaNova" w:hAnsi="ProximaNova"/>
          <w:color w:val="141414"/>
          <w:sz w:val="30"/>
          <w:szCs w:val="30"/>
        </w:rPr>
      </w:pPr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Для 2-10 років: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“Моє дивовижне тіло”,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Рут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Мартін,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Аллан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Сандерс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(2-3 роки);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> “Хто ховався в маминому животі”, видавництво “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Веско</w:t>
      </w:r>
      <w:proofErr w:type="spellEnd"/>
      <w:r>
        <w:rPr>
          <w:rFonts w:ascii="ProximaNova" w:hAnsi="ProximaNova"/>
          <w:color w:val="010101"/>
          <w:sz w:val="30"/>
          <w:szCs w:val="30"/>
        </w:rPr>
        <w:t>” (3-5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“Малечі про інтимні речі”, Юлія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Ярмоленко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(4-9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 “Не в капусті й не лелека”, Анна Герцог,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Жоэль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Турлоніас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(2-8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“Майя та її мами”, Лариса Денисенко, Марія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Фоя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(4-10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>“Відверта розмова про “це” (5-10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lastRenderedPageBreak/>
        <w:t xml:space="preserve">“Звідки я взявся? Правдиві відповіді на “незручні” запитання”, Хосе Р. Діас Морфа, Катерина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Марассі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Кандія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Пілар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Мігальон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Лопесоса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, Мерседес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Палоп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Ботелья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(5-10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“Велика книга почуттів”,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Ґжеґож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Касдепке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(4-10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>“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Мія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дорослішає” і “Бруно дорослішає”, Моніка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Пейткс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(8-10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“Як я дорослішаю”,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Аніта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Найк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Філ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Вілкінсон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(7-12 років);</w:t>
      </w:r>
    </w:p>
    <w:p w:rsidR="003B627D" w:rsidRDefault="003B627D" w:rsidP="003B627D">
      <w:pPr>
        <w:numPr>
          <w:ilvl w:val="0"/>
          <w:numId w:val="3"/>
        </w:numPr>
        <w:spacing w:after="600" w:line="240" w:lineRule="auto"/>
        <w:ind w:left="0"/>
        <w:rPr>
          <w:rFonts w:ascii="ProximaNova" w:hAnsi="ProximaNova"/>
          <w:color w:val="010101"/>
          <w:sz w:val="30"/>
          <w:szCs w:val="30"/>
        </w:rPr>
      </w:pPr>
      <w:r>
        <w:rPr>
          <w:rFonts w:ascii="ProximaNova" w:hAnsi="ProximaNova"/>
          <w:color w:val="010101"/>
          <w:sz w:val="30"/>
          <w:szCs w:val="30"/>
        </w:rPr>
        <w:t xml:space="preserve"> “Книжка, яка нарешті пояснить тобі геть усе про дівчаток і хлопчиків”, </w:t>
      </w:r>
      <w:proofErr w:type="spellStart"/>
      <w:r>
        <w:rPr>
          <w:rFonts w:ascii="ProximaNova" w:hAnsi="ProximaNova"/>
          <w:color w:val="010101"/>
          <w:sz w:val="30"/>
          <w:szCs w:val="30"/>
        </w:rPr>
        <w:t>Франсуаза</w:t>
      </w:r>
      <w:proofErr w:type="spellEnd"/>
      <w:r>
        <w:rPr>
          <w:rFonts w:ascii="ProximaNova" w:hAnsi="ProximaNova"/>
          <w:color w:val="010101"/>
          <w:sz w:val="30"/>
          <w:szCs w:val="30"/>
        </w:rPr>
        <w:t xml:space="preserve"> Буше (9-13 років);</w:t>
      </w:r>
    </w:p>
    <w:p w:rsidR="00C73D96" w:rsidRPr="003B627D" w:rsidRDefault="00C73D96" w:rsidP="003B6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D96" w:rsidRPr="003B627D" w:rsidSect="003B627D"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DE2"/>
    <w:multiLevelType w:val="multilevel"/>
    <w:tmpl w:val="951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22895"/>
    <w:multiLevelType w:val="multilevel"/>
    <w:tmpl w:val="431A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B5025"/>
    <w:multiLevelType w:val="multilevel"/>
    <w:tmpl w:val="B05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EB"/>
    <w:rsid w:val="003B627D"/>
    <w:rsid w:val="005C69EB"/>
    <w:rsid w:val="00C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B6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627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B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B627D"/>
    <w:rPr>
      <w:i/>
      <w:iCs/>
    </w:rPr>
  </w:style>
  <w:style w:type="character" w:styleId="a5">
    <w:name w:val="Hyperlink"/>
    <w:basedOn w:val="a0"/>
    <w:uiPriority w:val="99"/>
    <w:semiHidden/>
    <w:unhideWhenUsed/>
    <w:rsid w:val="003B627D"/>
    <w:rPr>
      <w:color w:val="0000FF"/>
      <w:u w:val="single"/>
    </w:rPr>
  </w:style>
  <w:style w:type="character" w:styleId="a6">
    <w:name w:val="Strong"/>
    <w:basedOn w:val="a0"/>
    <w:uiPriority w:val="22"/>
    <w:qFormat/>
    <w:rsid w:val="003B62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B6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627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B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B627D"/>
    <w:rPr>
      <w:i/>
      <w:iCs/>
    </w:rPr>
  </w:style>
  <w:style w:type="character" w:styleId="a5">
    <w:name w:val="Hyperlink"/>
    <w:basedOn w:val="a0"/>
    <w:uiPriority w:val="99"/>
    <w:semiHidden/>
    <w:unhideWhenUsed/>
    <w:rsid w:val="003B627D"/>
    <w:rPr>
      <w:color w:val="0000FF"/>
      <w:u w:val="single"/>
    </w:rPr>
  </w:style>
  <w:style w:type="character" w:styleId="a6">
    <w:name w:val="Strong"/>
    <w:basedOn w:val="a0"/>
    <w:uiPriority w:val="22"/>
    <w:qFormat/>
    <w:rsid w:val="003B62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xinforia.com/ua/5-prichin-nauchit-detey-slovam-penis-i-vul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e.int/t/dg3/children/1in5/default_e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2766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2022-09-20T07:24:00Z</dcterms:created>
  <dcterms:modified xsi:type="dcterms:W3CDTF">2022-09-20T07:35:00Z</dcterms:modified>
</cp:coreProperties>
</file>